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Энергетическое право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Бауэр Рудольф Эдуардович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6CB58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A39F02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A794F8B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8E5801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4EDFB3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99758E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681348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AB1A0F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bookmarkStart w:id="0" w:name="_GoBack"/>
            <w:bookmarkEnd w:id="0"/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F12F4A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C71A3D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CB6473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7250C6" w:rsidR="00D75436" w:rsidRDefault="000A0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9EB680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DC2A73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FAEB3E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C8F722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1BD65F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9579A2" w:rsidR="00D75436" w:rsidRDefault="000A0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A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A0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освоения дисциплины «Энергетическое право Китая» является формирование у обучающихся системы углублённых теоретических знаний и прикладных компетенций в области правового регулирования энергетического сектора Китайской Народной Республики, необходимых для эффективной профессиональной деятельности в сфере международного энергетического сотрудничества, трансграничных энергетических проектов и внешнеэкономической деятельности с участием китайских партнёров.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Дисциплина ориентирована на подготовку магистров юриспруденции для работы в международных энергетических компаниях, органах государственной власти, международных арбитражных институциях, а также для осуществления правового сопровождения проектов в области традиционной и возобновляемой энергетики на территории КНР и с участием китайских субъектов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Энергетическое право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0A01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01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01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01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01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01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A01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01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01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</w:rPr>
              <w:t>ПК-3 - Способен квалифицированно применять нормативные правовые акты в отдельных отраслях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01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ПК-3.2 - Анализирует содержание основных международно-правовых документов в области энергетического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01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0156">
              <w:rPr>
                <w:rFonts w:ascii="Times New Roman" w:hAnsi="Times New Roman" w:cs="Times New Roman"/>
              </w:rPr>
              <w:t>Систему источников энергетического права КНР (конституционные основы, законы «Об энергетике», «Об электроэнергетике», «О возобновляемых источниках энергии», «О нефтегазовых трубопроводах», подзаконные акты, национальные стандарты, а также нормы ВТО и Энергетической хартии, применяемые Китаем).</w:t>
            </w:r>
            <w:r w:rsidR="00316402" w:rsidRPr="000A0156">
              <w:rPr>
                <w:rFonts w:ascii="Times New Roman" w:hAnsi="Times New Roman" w:cs="Times New Roman"/>
              </w:rPr>
              <w:br/>
              <w:t xml:space="preserve">Особенности правового режима разведки и добычи нефти, газа, угля, редкоземельных металлов в КНР (включая систему лицензирования, права недропользования, статус государственных нефтяных корпораций </w:t>
            </w:r>
            <w:r w:rsidR="00316402" w:rsidRPr="000A0156">
              <w:rPr>
                <w:rFonts w:ascii="Times New Roman" w:hAnsi="Times New Roman" w:cs="Times New Roman"/>
                <w:lang w:val="en-US"/>
              </w:rPr>
              <w:t>CNPC</w:t>
            </w:r>
            <w:r w:rsidR="00316402" w:rsidRPr="000A0156">
              <w:rPr>
                <w:rFonts w:ascii="Times New Roman" w:hAnsi="Times New Roman" w:cs="Times New Roman"/>
              </w:rPr>
              <w:t xml:space="preserve">, </w:t>
            </w:r>
            <w:r w:rsidR="00316402" w:rsidRPr="000A0156">
              <w:rPr>
                <w:rFonts w:ascii="Times New Roman" w:hAnsi="Times New Roman" w:cs="Times New Roman"/>
                <w:lang w:val="en-US"/>
              </w:rPr>
              <w:t>Sinopec</w:t>
            </w:r>
            <w:r w:rsidR="00316402" w:rsidRPr="000A0156">
              <w:rPr>
                <w:rFonts w:ascii="Times New Roman" w:hAnsi="Times New Roman" w:cs="Times New Roman"/>
              </w:rPr>
              <w:t xml:space="preserve">, </w:t>
            </w:r>
            <w:r w:rsidR="00316402" w:rsidRPr="000A0156">
              <w:rPr>
                <w:rFonts w:ascii="Times New Roman" w:hAnsi="Times New Roman" w:cs="Times New Roman"/>
                <w:lang w:val="en-US"/>
              </w:rPr>
              <w:t>CNOOC</w:t>
            </w:r>
            <w:r w:rsidR="00316402" w:rsidRPr="000A0156">
              <w:rPr>
                <w:rFonts w:ascii="Times New Roman" w:hAnsi="Times New Roman" w:cs="Times New Roman"/>
              </w:rPr>
              <w:t xml:space="preserve">, правовое регулирование приграничных </w:t>
            </w:r>
            <w:proofErr w:type="spellStart"/>
            <w:r w:rsidR="00316402" w:rsidRPr="000A0156">
              <w:rPr>
                <w:rFonts w:ascii="Times New Roman" w:hAnsi="Times New Roman" w:cs="Times New Roman"/>
              </w:rPr>
              <w:t>энергопроектов</w:t>
            </w:r>
            <w:proofErr w:type="spellEnd"/>
            <w:r w:rsidR="00316402" w:rsidRPr="000A0156">
              <w:rPr>
                <w:rFonts w:ascii="Times New Roman" w:hAnsi="Times New Roman" w:cs="Times New Roman"/>
              </w:rPr>
              <w:t>, трансграничных трубопроводов и морских месторождений).</w:t>
            </w:r>
            <w:r w:rsidR="00316402" w:rsidRPr="000A0156">
              <w:rPr>
                <w:rFonts w:ascii="Times New Roman" w:hAnsi="Times New Roman" w:cs="Times New Roman"/>
              </w:rPr>
              <w:br/>
              <w:t xml:space="preserve">Целевую структуру и механизмы реализации государственной энергетической политики Китая («двойное управление» ценами, плановая система распределения мощностей, правовые основы «чистого угля», ВИЭ, энергоэффективности, углеродной нейтральности, а также правила проведения </w:t>
            </w:r>
            <w:proofErr w:type="spellStart"/>
            <w:r w:rsidR="00316402" w:rsidRPr="000A0156">
              <w:rPr>
                <w:rFonts w:ascii="Times New Roman" w:hAnsi="Times New Roman" w:cs="Times New Roman"/>
              </w:rPr>
              <w:lastRenderedPageBreak/>
              <w:t>энерготоргов</w:t>
            </w:r>
            <w:proofErr w:type="spellEnd"/>
            <w:r w:rsidR="00316402" w:rsidRPr="000A0156">
              <w:rPr>
                <w:rFonts w:ascii="Times New Roman" w:hAnsi="Times New Roman" w:cs="Times New Roman"/>
              </w:rPr>
              <w:t xml:space="preserve">, запуска </w:t>
            </w:r>
            <w:proofErr w:type="spellStart"/>
            <w:r w:rsidR="00316402" w:rsidRPr="000A0156">
              <w:rPr>
                <w:rFonts w:ascii="Times New Roman" w:hAnsi="Times New Roman" w:cs="Times New Roman"/>
              </w:rPr>
              <w:t>энергобирж</w:t>
            </w:r>
            <w:proofErr w:type="spellEnd"/>
            <w:r w:rsidR="00316402" w:rsidRPr="000A0156">
              <w:rPr>
                <w:rFonts w:ascii="Times New Roman" w:hAnsi="Times New Roman" w:cs="Times New Roman"/>
              </w:rPr>
              <w:t xml:space="preserve"> и развития сектора СПГ/газ).</w:t>
            </w:r>
            <w:r w:rsidRPr="000A01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01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0156">
              <w:rPr>
                <w:rFonts w:ascii="Times New Roman" w:hAnsi="Times New Roman" w:cs="Times New Roman"/>
              </w:rPr>
              <w:t xml:space="preserve">Оперировать оригинальными текстами и официальными переводами основных энергетических законов КНР, сопоставлять их с российскими и международными нормами, находить регуляторные пробелы и коллизии при сопровождении китайско-российских </w:t>
            </w:r>
            <w:proofErr w:type="spellStart"/>
            <w:r w:rsidR="00FD518F" w:rsidRPr="000A0156">
              <w:rPr>
                <w:rFonts w:ascii="Times New Roman" w:hAnsi="Times New Roman" w:cs="Times New Roman"/>
              </w:rPr>
              <w:t>энергопроектов</w:t>
            </w:r>
            <w:proofErr w:type="spellEnd"/>
            <w:r w:rsidR="00FD518F" w:rsidRPr="000A0156">
              <w:rPr>
                <w:rFonts w:ascii="Times New Roman" w:hAnsi="Times New Roman" w:cs="Times New Roman"/>
              </w:rPr>
              <w:t>.</w:t>
            </w:r>
            <w:r w:rsidR="00FD518F" w:rsidRPr="000A0156">
              <w:rPr>
                <w:rFonts w:ascii="Times New Roman" w:hAnsi="Times New Roman" w:cs="Times New Roman"/>
              </w:rPr>
              <w:br/>
              <w:t xml:space="preserve">Анализировать судебную и арбитражную практику Китая по спорам, связанным с </w:t>
            </w:r>
            <w:proofErr w:type="spellStart"/>
            <w:r w:rsidR="00FD518F" w:rsidRPr="000A0156">
              <w:rPr>
                <w:rFonts w:ascii="Times New Roman" w:hAnsi="Times New Roman" w:cs="Times New Roman"/>
              </w:rPr>
              <w:t>энергоконтрактами</w:t>
            </w:r>
            <w:proofErr w:type="spellEnd"/>
            <w:r w:rsidR="00FD518F" w:rsidRPr="000A0156">
              <w:rPr>
                <w:rFonts w:ascii="Times New Roman" w:hAnsi="Times New Roman" w:cs="Times New Roman"/>
              </w:rPr>
              <w:t>, инвестиционными соглашениями, доступом к трубопроводам, экологическими и техническими требованиями, лицензированием и ценообразованием.</w:t>
            </w:r>
            <w:r w:rsidR="00FD518F" w:rsidRPr="000A0156">
              <w:rPr>
                <w:rFonts w:ascii="Times New Roman" w:hAnsi="Times New Roman" w:cs="Times New Roman"/>
              </w:rPr>
              <w:br/>
              <w:t>Давать правовую оценку условиям энергетических сделок с участием китайских партнеров, выявлять риски, связанные с требованием локализации, ограничениями на иностранные инвестиции в энергетику, режимом экспортных пошлин, а также с применением в китайском праве категории «существенное изменение обстоятельств» и механизмов госрегулирования.</w:t>
            </w:r>
            <w:r w:rsidRPr="000A01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01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0156">
              <w:rPr>
                <w:rFonts w:ascii="Times New Roman" w:hAnsi="Times New Roman" w:cs="Times New Roman"/>
              </w:rPr>
              <w:t xml:space="preserve">Навыками поиска, верификации и толкования нормативных правовых актов КНР в энергетической сфере с использованием правовых баз данных (Пекинская </w:t>
            </w:r>
            <w:proofErr w:type="spellStart"/>
            <w:r w:rsidR="00FD518F" w:rsidRPr="000A0156">
              <w:rPr>
                <w:rFonts w:ascii="Times New Roman" w:hAnsi="Times New Roman" w:cs="Times New Roman"/>
              </w:rPr>
              <w:t>юридческая</w:t>
            </w:r>
            <w:proofErr w:type="spellEnd"/>
            <w:r w:rsidR="00FD518F" w:rsidRPr="000A0156">
              <w:rPr>
                <w:rFonts w:ascii="Times New Roman" w:hAnsi="Times New Roman" w:cs="Times New Roman"/>
              </w:rPr>
              <w:t xml:space="preserve"> база, официальные сайты </w:t>
            </w:r>
            <w:r w:rsidR="00FD518F" w:rsidRPr="000A0156">
              <w:rPr>
                <w:rFonts w:ascii="Times New Roman" w:hAnsi="Times New Roman" w:cs="Times New Roman"/>
                <w:lang w:val="en-US"/>
              </w:rPr>
              <w:t>NDRC</w:t>
            </w:r>
            <w:r w:rsidR="00FD518F" w:rsidRPr="000A0156">
              <w:rPr>
                <w:rFonts w:ascii="Times New Roman" w:hAnsi="Times New Roman" w:cs="Times New Roman"/>
              </w:rPr>
              <w:t xml:space="preserve">, </w:t>
            </w:r>
            <w:r w:rsidR="00FD518F" w:rsidRPr="000A0156">
              <w:rPr>
                <w:rFonts w:ascii="Times New Roman" w:hAnsi="Times New Roman" w:cs="Times New Roman"/>
                <w:lang w:val="en-US"/>
              </w:rPr>
              <w:t>NEA</w:t>
            </w:r>
            <w:r w:rsidR="00FD518F" w:rsidRPr="000A0156">
              <w:rPr>
                <w:rFonts w:ascii="Times New Roman" w:hAnsi="Times New Roman" w:cs="Times New Roman"/>
              </w:rPr>
              <w:t>, государственных энергокомпаний) и справочных ресурсов на китайском и английском языках.</w:t>
            </w:r>
            <w:r w:rsidR="00FD518F" w:rsidRPr="000A0156">
              <w:rPr>
                <w:rFonts w:ascii="Times New Roman" w:hAnsi="Times New Roman" w:cs="Times New Roman"/>
              </w:rPr>
              <w:br/>
              <w:t>Способами составления юридических документов (проектов контрактов, меморандумов, правовых заключений) применительно к сделкам в рамках инициативы «Пояс и путь» (</w:t>
            </w:r>
            <w:r w:rsidR="00FD518F" w:rsidRPr="000A0156">
              <w:rPr>
                <w:rFonts w:ascii="Times New Roman" w:hAnsi="Times New Roman" w:cs="Times New Roman"/>
                <w:lang w:val="en-US"/>
              </w:rPr>
              <w:t>BRI</w:t>
            </w:r>
            <w:r w:rsidR="00FD518F" w:rsidRPr="000A0156">
              <w:rPr>
                <w:rFonts w:ascii="Times New Roman" w:hAnsi="Times New Roman" w:cs="Times New Roman"/>
              </w:rPr>
              <w:t>), совместным проектам в области углеводородов, ВИЭ, угольной и атомной энергетики с учетом национального регулирования КНР.</w:t>
            </w:r>
            <w:r w:rsidR="00FD518F" w:rsidRPr="000A0156">
              <w:rPr>
                <w:rFonts w:ascii="Times New Roman" w:hAnsi="Times New Roman" w:cs="Times New Roman"/>
              </w:rPr>
              <w:br/>
              <w:t>Приемами правового мониторинга изменений в энергетическом законодательстве Китая (включая эксперименты в пилотных зонах свободной торговли, реформы энергорынка, обновления в области углеродных единиц и «двойного контроля» энергопотребления) для своевременной корректировки правовой стратегии бизнеса и минимизации юрисдикционных рисков.</w:t>
            </w:r>
            <w:r w:rsidRPr="000A01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01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A01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A015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A015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A01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(ак</w:t>
            </w:r>
            <w:r w:rsidR="00AE2B1A" w:rsidRPr="000A0156">
              <w:rPr>
                <w:rFonts w:ascii="Times New Roman" w:hAnsi="Times New Roman" w:cs="Times New Roman"/>
                <w:b/>
              </w:rPr>
              <w:t>адемические</w:t>
            </w:r>
            <w:r w:rsidRPr="000A015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A01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A01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A01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A01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A01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A01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A01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A01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A01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A015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A015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A01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1. Понятие и система энергетического права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Легальное определение энергии и энергоресурсов. Соотношение понятий «энергия» и «полезные ископаемые» в контексте Закона КНР «Об энергетике» 2024 г. и Закона КНР «О полезных ископаемых».</w:t>
            </w:r>
            <w:r w:rsidRPr="000A0156">
              <w:rPr>
                <w:sz w:val="22"/>
                <w:szCs w:val="22"/>
                <w:lang w:bidi="ru-RU"/>
              </w:rPr>
              <w:br/>
              <w:t>2. Право государственной собственности на энергоресурсы. Разграничение права собственности на ресурсы и права пользования ими на основе концессионных соглашений (лицензий на разведку и добычу).</w:t>
            </w:r>
            <w:r w:rsidRPr="000A0156">
              <w:rPr>
                <w:sz w:val="22"/>
                <w:szCs w:val="22"/>
                <w:lang w:bidi="ru-RU"/>
              </w:rPr>
              <w:br/>
              <w:t>3. Предмет и метод энергетического права. Является ли энергетическое право самостоятельной отраслью или комплексным институтом, объединяющим нормы гражданского, административного и природоресурсного права? Отличие от смежных отраслей.</w:t>
            </w:r>
            <w:r w:rsidRPr="000A0156">
              <w:rPr>
                <w:sz w:val="22"/>
                <w:szCs w:val="22"/>
                <w:lang w:bidi="ru-RU"/>
              </w:rPr>
              <w:br/>
              <w:t>4. Система источников: Конституция КНР, Закон «Об энергетике» (2024), Закон «О полезных ископаемых» (ред. 2024 г.), отраслевое законодательство (Закон об электроэнергетике, Закон о возобновляемой энергии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3E32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BCBA7" w14:textId="77777777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2. Право пользования недрами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08A4E" w14:textId="77777777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Понятие и правовая природа лицензии (разрешения) на разведку и добычу полезных ископаемых (право на недропользование).</w:t>
            </w:r>
            <w:r w:rsidRPr="000A0156">
              <w:rPr>
                <w:sz w:val="22"/>
                <w:szCs w:val="22"/>
                <w:lang w:bidi="ru-RU"/>
              </w:rPr>
              <w:br/>
              <w:t>2. Основания возникновения и прекращения права пользования недрами. Конкурсные процедуры и аукционы как основной способ предоставления прав.</w:t>
            </w:r>
            <w:r w:rsidRPr="000A0156">
              <w:rPr>
                <w:sz w:val="22"/>
                <w:szCs w:val="22"/>
                <w:lang w:bidi="ru-RU"/>
              </w:rPr>
              <w:br/>
              <w:t>3. Кейс: Компания «В» получила лицензию на разработку угольного месторождения, но не оформила земельный участок на поверхности. Вправе ли она требовать компенсацию за убытки, если строительство инфраструктуры ограничивает доступ к запасам? (Аналогия с правом горного отвода и земельным участком).</w:t>
            </w:r>
            <w:r w:rsidRPr="000A0156">
              <w:rPr>
                <w:sz w:val="22"/>
                <w:szCs w:val="22"/>
                <w:lang w:bidi="ru-RU"/>
              </w:rPr>
              <w:br/>
              <w:t>4. Досрочное прекращение, приостановление и ограничение права пользования недрами. Роль судебных толкований Верховного суда КНР (2026 г.) по защите прав недропользователей.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69480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BB4E3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73FC1" w14:textId="77777777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5C067" w14:textId="77777777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A80DC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5D03C" w14:textId="77777777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3. Правовой статус субъектов энергетического права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237D6" w14:textId="77777777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Китайские государственные корпорации (CNPC, Sinopec, CNOOC) как доминирующие субъекты недропользования.</w:t>
            </w:r>
            <w:r w:rsidRPr="000A0156">
              <w:rPr>
                <w:sz w:val="22"/>
                <w:szCs w:val="22"/>
                <w:lang w:bidi="ru-RU"/>
              </w:rPr>
              <w:br/>
              <w:t>2. Допуск иностранных инвесторов к стратегическим участкам недр. Соглашения о разделе продукции (PSA) и механизмы контроля со стороны государства.</w:t>
            </w:r>
            <w:r w:rsidRPr="000A0156">
              <w:rPr>
                <w:sz w:val="22"/>
                <w:szCs w:val="22"/>
                <w:lang w:bidi="ru-RU"/>
              </w:rPr>
              <w:br/>
              <w:t>3. Новеллы 2024–2026 годов: переход к рыночным механизмам распределения минеральных ресурсов. Изменения в Законе «О полезных ископаемых», закрепляющие конкурсный способ получения лицензий.</w:t>
            </w:r>
            <w:r w:rsidRPr="000A0156">
              <w:rPr>
                <w:sz w:val="22"/>
                <w:szCs w:val="22"/>
                <w:lang w:bidi="ru-RU"/>
              </w:rPr>
              <w:br/>
              <w:t>4. Права и обязанности недропользователя: геологическое изучение, разведка, добыча и обязанность по рациональному использованию недр.</w:t>
            </w:r>
            <w:r w:rsidRPr="000A0156">
              <w:rPr>
                <w:sz w:val="22"/>
                <w:szCs w:val="22"/>
                <w:lang w:bidi="ru-RU"/>
              </w:rPr>
              <w:br/>
              <w:t xml:space="preserve">5. Ответственность: гражданско-правовая, </w:t>
            </w:r>
            <w:r w:rsidRPr="000A0156">
              <w:rPr>
                <w:sz w:val="22"/>
                <w:szCs w:val="22"/>
                <w:lang w:bidi="ru-RU"/>
              </w:rPr>
              <w:lastRenderedPageBreak/>
              <w:t>административная и уголовная. Практика разрешения споров по форс-мажорным условиям (take-or-pay).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4BC66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C5C9D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9B86B" w14:textId="77777777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4C25B" w14:textId="77777777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05D2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BB49E" w14:textId="77777777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4. Правовой режим энергоресурсов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D05D7" w14:textId="77777777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Правовой режим добычи угля, нефти и природного газа. Особенности регулирования нетрадиционных ресурсов (сланцевый газ, метан угольных пластов).</w:t>
            </w:r>
            <w:r w:rsidRPr="000A0156">
              <w:rPr>
                <w:sz w:val="22"/>
                <w:szCs w:val="22"/>
                <w:lang w:bidi="ru-RU"/>
              </w:rPr>
              <w:br/>
              <w:t>2. Правовой режим использования возобновляемых источников энергии (ветер, солнце, вода, биомасса, геотермальная энергия). Квоты на потребление и механизмы «зеленых сертификатов».</w:t>
            </w:r>
            <w:r w:rsidRPr="000A0156">
              <w:rPr>
                <w:sz w:val="22"/>
                <w:szCs w:val="22"/>
                <w:lang w:bidi="ru-RU"/>
              </w:rPr>
              <w:br/>
              <w:t>3. Кейс: Энергетическая компания бурит скважину для добычи геотермальной воды. Обязана ли она получать лицензию на пользование недрами или это регулируется законодательством о ВИЭ?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5C712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2DFB2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C87B4" w14:textId="77777777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EEEA4" w14:textId="77777777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A13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9EDFF" w14:textId="77777777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энергетики в Китае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C1AF0" w14:textId="77777777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Система органов управления: Государственное управление энергетики (NEA), Национальная комиссия по развитию и реформам (NDRC), Министерство природных ресурсов. Разграничение полномочий.</w:t>
            </w:r>
            <w:r w:rsidRPr="000A0156">
              <w:rPr>
                <w:sz w:val="22"/>
                <w:szCs w:val="22"/>
                <w:lang w:bidi="ru-RU"/>
              </w:rPr>
              <w:br/>
              <w:t>2. Правовой режим энергетической информации и геологических данных. Право собственности на геоданные, полученные за счет частных средств. Обязанность передачи данных государству.</w:t>
            </w:r>
            <w:r w:rsidRPr="000A0156">
              <w:rPr>
                <w:sz w:val="22"/>
                <w:szCs w:val="22"/>
                <w:lang w:bidi="ru-RU"/>
              </w:rPr>
              <w:br/>
              <w:t>3. Новеллы 2024–2026 годов: Закон «Об энергетике» вводит обязательное государственное планирование (генеральные, региональные и отраслевые планы).</w:t>
            </w:r>
            <w:r w:rsidRPr="000A0156">
              <w:rPr>
                <w:sz w:val="22"/>
                <w:szCs w:val="22"/>
                <w:lang w:bidi="ru-RU"/>
              </w:rPr>
              <w:br/>
              <w:t>4. Государственная экспертиза запасов и государственный баланс полезных ископаемых.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25814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9F0E1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A93A6" w14:textId="77777777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F0BB7" w14:textId="77777777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7A1A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E9733" w14:textId="77777777" w:rsidR="004475DA" w:rsidRPr="000A01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Тема 6. Разрешение споров по энергетике в Китае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B2F56" w14:textId="77777777" w:rsidR="004475DA" w:rsidRPr="000A01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A0156">
              <w:rPr>
                <w:sz w:val="22"/>
                <w:szCs w:val="22"/>
                <w:lang w:bidi="ru-RU"/>
              </w:rPr>
              <w:t>1. Административный порядок обжалования решений госорганов. Роль NDRC и NEA в досудебном урегулировании.</w:t>
            </w:r>
            <w:r w:rsidRPr="000A0156">
              <w:rPr>
                <w:sz w:val="22"/>
                <w:szCs w:val="22"/>
                <w:lang w:bidi="ru-RU"/>
              </w:rPr>
              <w:br/>
              <w:t>2. Судебные споры: оспаривание прекращения лицензий, взыскание убытков (в т.ч. по договорам «бери или плати»), споры о границах горных отводов.</w:t>
            </w:r>
            <w:r w:rsidRPr="000A0156">
              <w:rPr>
                <w:sz w:val="22"/>
                <w:szCs w:val="22"/>
                <w:lang w:bidi="ru-RU"/>
              </w:rPr>
              <w:br/>
              <w:t>3. Кейс: Суд вынес решение о прекращении права пользования недрами по иску госоргана. Третье лицо, не участвовавшее в деле, считает, что решение затрагивает его права на соседний участок. Вправе ли оно обжаловать это решение на основе разъяснений Верховного суда КНР (2026 г.)?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3A55F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C1104" w14:textId="77777777" w:rsidR="004475DA" w:rsidRPr="000A01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5A8B0" w14:textId="77777777" w:rsidR="004475DA" w:rsidRPr="000A01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52070" w14:textId="77777777" w:rsidR="004475DA" w:rsidRPr="000A01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A0156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A015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015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A015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A015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A015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A015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A01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015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A01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A015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A01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A01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A0156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2"/>
        <w:gridCol w:w="2693"/>
      </w:tblGrid>
      <w:tr w:rsidR="00262CF0" w:rsidRPr="00056A77" w14:paraId="5F00FF08" w14:textId="77777777" w:rsidTr="00056A77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056A7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6A7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056A7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6A7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56A77" w:rsidRPr="00056A77" w14:paraId="254D5903" w14:textId="77777777" w:rsidTr="00056A77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338D044" w14:textId="2DD9BBAA" w:rsidR="00056A77" w:rsidRPr="00056A77" w:rsidRDefault="00056A77" w:rsidP="00AA7A6A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Кремлева, Ольга 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Клавдиевна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Энергетическое </w:t>
            </w:r>
            <w:proofErr w:type="gram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право :</w:t>
            </w:r>
            <w:proofErr w:type="gram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учебное пособие / 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О.К.Кремлева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; М-во образования и науки Рос. Федерации, С.-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Петерб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гос. 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экон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ун-т, Каф. теории и истории государства и права. Санкт-</w:t>
            </w:r>
            <w:proofErr w:type="gram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Петербург :</w:t>
            </w:r>
            <w:proofErr w:type="gram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Изд-во 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СПбГЭУ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2017.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559A8E2E" w14:textId="6C2DCABD" w:rsidR="00056A77" w:rsidRPr="00056A77" w:rsidRDefault="00056A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Pr="00056A77">
                <w:rPr>
                  <w:rStyle w:val="a8"/>
                  <w:rFonts w:ascii="Times New Roman" w:hAnsi="Times New Roman" w:cs="Times New Roman"/>
                </w:rPr>
                <w:t>https://opac.unecon.ru/elibrary/2015/ucheb/%D0%AD%D0%BD%D0%B5%D1%80%D0%B3%D0%B5%D1%82%D0%B8%D1%87%D0%B5%D1%81%D0%BA%D0%BE%D0%B5%20%D0%BF%D1%80%D0%B0%D0%B2%D0%BE.pdf</w:t>
              </w:r>
            </w:hyperlink>
            <w:r w:rsidRPr="00056A7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56A77" w:rsidRPr="00056A77" w14:paraId="468639D0" w14:textId="77777777" w:rsidTr="00056A77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AF2C133" w14:textId="0DA12BB1" w:rsidR="00056A77" w:rsidRPr="00056A77" w:rsidRDefault="00056A77" w:rsidP="00AA7A6A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Энергетическое </w:t>
            </w:r>
            <w:proofErr w:type="gram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право :</w:t>
            </w:r>
            <w:proofErr w:type="gram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научной редакцией А. Х. Абашидзе, А. О. Иншаковой, Д. Е. 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Матыцина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 — </w:t>
            </w:r>
            <w:proofErr w:type="gram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Москва :</w:t>
            </w:r>
            <w:proofErr w:type="gram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Издательство </w:t>
            </w:r>
            <w:proofErr w:type="spellStart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056A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2026. — 440 с. — (Высшее образование). — ISBN 978-5-534-21341-6.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1DEA748E" w14:textId="08E3042A" w:rsidR="00056A77" w:rsidRPr="00056A77" w:rsidRDefault="00056A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tgtFrame="_blank" w:history="1">
              <w:r w:rsidRPr="00056A77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https://urait.ru/bcode/590632</w:t>
              </w:r>
            </w:hyperlink>
          </w:p>
        </w:tc>
      </w:tr>
    </w:tbl>
    <w:p w14:paraId="570D085B" w14:textId="77777777" w:rsidR="0091168E" w:rsidRPr="00056A7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407A87" w14:textId="77777777" w:rsidTr="007B550D">
        <w:tc>
          <w:tcPr>
            <w:tcW w:w="9345" w:type="dxa"/>
          </w:tcPr>
          <w:p w14:paraId="456712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EF3E840" w14:textId="77777777" w:rsidTr="007B550D">
        <w:tc>
          <w:tcPr>
            <w:tcW w:w="9345" w:type="dxa"/>
          </w:tcPr>
          <w:p w14:paraId="2AA960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FD6D97" w14:textId="77777777" w:rsidTr="007B550D">
        <w:tc>
          <w:tcPr>
            <w:tcW w:w="9345" w:type="dxa"/>
          </w:tcPr>
          <w:p w14:paraId="2E21AD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AFF00D0" w14:textId="77777777" w:rsidTr="007B550D">
        <w:tc>
          <w:tcPr>
            <w:tcW w:w="9345" w:type="dxa"/>
          </w:tcPr>
          <w:p w14:paraId="01621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9FB0AE" w14:textId="77777777" w:rsidTr="007B550D">
        <w:tc>
          <w:tcPr>
            <w:tcW w:w="9345" w:type="dxa"/>
          </w:tcPr>
          <w:p w14:paraId="13CEE7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CE8CBC" w14:textId="77777777" w:rsidTr="007B550D">
        <w:tc>
          <w:tcPr>
            <w:tcW w:w="9345" w:type="dxa"/>
          </w:tcPr>
          <w:p w14:paraId="2049AF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01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10065" w:type="dxa"/>
        <w:tblInd w:w="-714" w:type="dxa"/>
        <w:tblLook w:val="04A0" w:firstRow="1" w:lastRow="0" w:firstColumn="1" w:lastColumn="0" w:noHBand="0" w:noVBand="1"/>
      </w:tblPr>
      <w:tblGrid>
        <w:gridCol w:w="7088"/>
        <w:gridCol w:w="2977"/>
      </w:tblGrid>
      <w:tr w:rsidR="002C735C" w:rsidRPr="00056A77" w14:paraId="53424330" w14:textId="77777777" w:rsidTr="00056A77">
        <w:tc>
          <w:tcPr>
            <w:tcW w:w="7088" w:type="dxa"/>
            <w:shd w:val="clear" w:color="auto" w:fill="auto"/>
          </w:tcPr>
          <w:p w14:paraId="2986F8BC" w14:textId="77777777" w:rsidR="002C735C" w:rsidRPr="00056A77" w:rsidRDefault="002C735C" w:rsidP="00056A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6A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977" w:type="dxa"/>
            <w:shd w:val="clear" w:color="auto" w:fill="auto"/>
          </w:tcPr>
          <w:p w14:paraId="3A00FEF8" w14:textId="77777777" w:rsidR="002C735C" w:rsidRPr="00056A77" w:rsidRDefault="002C735C" w:rsidP="00056A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6A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6A77" w14:paraId="3B643305" w14:textId="77777777" w:rsidTr="00056A77">
        <w:tc>
          <w:tcPr>
            <w:tcW w:w="7088" w:type="dxa"/>
            <w:shd w:val="clear" w:color="auto" w:fill="auto"/>
          </w:tcPr>
          <w:p w14:paraId="30187323" w14:textId="2692E090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</w:rPr>
              <w:t>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056A77">
              <w:rPr>
                <w:sz w:val="22"/>
                <w:szCs w:val="22"/>
                <w:lang w:val="en-US"/>
              </w:rPr>
              <w:t>Intel</w:t>
            </w:r>
            <w:r w:rsidRPr="00056A77">
              <w:rPr>
                <w:sz w:val="22"/>
                <w:szCs w:val="22"/>
              </w:rPr>
              <w:t xml:space="preserve">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6A77">
              <w:rPr>
                <w:sz w:val="22"/>
                <w:szCs w:val="22"/>
              </w:rPr>
              <w:t>3 2100 3.3/4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>/500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>/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6A77">
              <w:rPr>
                <w:sz w:val="22"/>
                <w:szCs w:val="22"/>
              </w:rPr>
              <w:t xml:space="preserve">193 - 1 шт.,  Мультимедийный проектор </w:t>
            </w:r>
            <w:r w:rsidRPr="00056A77">
              <w:rPr>
                <w:sz w:val="22"/>
                <w:szCs w:val="22"/>
                <w:lang w:val="en-US"/>
              </w:rPr>
              <w:t>NEC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ME</w:t>
            </w:r>
            <w:r w:rsidRPr="00056A77">
              <w:rPr>
                <w:sz w:val="22"/>
                <w:szCs w:val="22"/>
              </w:rPr>
              <w:t>402</w:t>
            </w:r>
            <w:r w:rsidRPr="00056A77">
              <w:rPr>
                <w:sz w:val="22"/>
                <w:szCs w:val="22"/>
                <w:lang w:val="en-US"/>
              </w:rPr>
              <w:t>X</w:t>
            </w:r>
            <w:r w:rsidRPr="00056A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3505D25E" w14:textId="5D1F0636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56A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6A77" w14:paraId="323C7080" w14:textId="77777777" w:rsidTr="00056A77">
        <w:tc>
          <w:tcPr>
            <w:tcW w:w="7088" w:type="dxa"/>
            <w:shd w:val="clear" w:color="auto" w:fill="auto"/>
          </w:tcPr>
          <w:p w14:paraId="1FF9F129" w14:textId="6BBDBE0A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56A77">
              <w:rPr>
                <w:sz w:val="22"/>
                <w:szCs w:val="22"/>
                <w:lang w:val="en-US"/>
              </w:rPr>
              <w:t>HP</w:t>
            </w:r>
            <w:r w:rsidRPr="00056A77">
              <w:rPr>
                <w:sz w:val="22"/>
                <w:szCs w:val="22"/>
              </w:rPr>
              <w:t xml:space="preserve"> 250 </w:t>
            </w:r>
            <w:r w:rsidRPr="00056A77">
              <w:rPr>
                <w:sz w:val="22"/>
                <w:szCs w:val="22"/>
                <w:lang w:val="en-US"/>
              </w:rPr>
              <w:t>G</w:t>
            </w:r>
            <w:r w:rsidRPr="00056A77">
              <w:rPr>
                <w:sz w:val="22"/>
                <w:szCs w:val="22"/>
              </w:rPr>
              <w:t>6 1</w:t>
            </w:r>
            <w:r w:rsidRPr="00056A77">
              <w:rPr>
                <w:sz w:val="22"/>
                <w:szCs w:val="22"/>
                <w:lang w:val="en-US"/>
              </w:rPr>
              <w:t>WY</w:t>
            </w:r>
            <w:r w:rsidRPr="00056A77">
              <w:rPr>
                <w:sz w:val="22"/>
                <w:szCs w:val="22"/>
              </w:rPr>
              <w:t>58</w:t>
            </w:r>
            <w:r w:rsidRPr="00056A77">
              <w:rPr>
                <w:sz w:val="22"/>
                <w:szCs w:val="22"/>
                <w:lang w:val="en-US"/>
              </w:rPr>
              <w:t>EA</w:t>
            </w:r>
            <w:r w:rsidRPr="00056A77">
              <w:rPr>
                <w:sz w:val="22"/>
                <w:szCs w:val="22"/>
              </w:rPr>
              <w:t xml:space="preserve">, Мультимедийный проектор </w:t>
            </w:r>
            <w:r w:rsidRPr="00056A77">
              <w:rPr>
                <w:sz w:val="22"/>
                <w:szCs w:val="22"/>
                <w:lang w:val="en-US"/>
              </w:rPr>
              <w:t>LG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PF</w:t>
            </w:r>
            <w:r w:rsidRPr="00056A77">
              <w:rPr>
                <w:sz w:val="22"/>
                <w:szCs w:val="22"/>
              </w:rPr>
              <w:t>1500</w:t>
            </w:r>
            <w:r w:rsidRPr="00056A77">
              <w:rPr>
                <w:sz w:val="22"/>
                <w:szCs w:val="22"/>
                <w:lang w:val="en-US"/>
              </w:rPr>
              <w:t>G</w:t>
            </w:r>
            <w:r w:rsidRPr="00056A7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2A5806B" w14:textId="77777777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56A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6A77" w14:paraId="4154FE77" w14:textId="77777777" w:rsidTr="00056A77">
        <w:tc>
          <w:tcPr>
            <w:tcW w:w="7088" w:type="dxa"/>
            <w:shd w:val="clear" w:color="auto" w:fill="auto"/>
          </w:tcPr>
          <w:p w14:paraId="53B499FE" w14:textId="69307BA5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056A77">
              <w:rPr>
                <w:sz w:val="22"/>
                <w:szCs w:val="22"/>
              </w:rPr>
              <w:t xml:space="preserve">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6A77">
              <w:rPr>
                <w:sz w:val="22"/>
                <w:szCs w:val="22"/>
              </w:rPr>
              <w:t xml:space="preserve">3 2100 </w:t>
            </w:r>
            <w:r w:rsidRPr="00056A77">
              <w:rPr>
                <w:sz w:val="22"/>
                <w:szCs w:val="22"/>
              </w:rPr>
              <w:lastRenderedPageBreak/>
              <w:t>3.3/4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>/500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>/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56A77">
              <w:rPr>
                <w:sz w:val="22"/>
                <w:szCs w:val="22"/>
              </w:rPr>
              <w:t xml:space="preserve">193 - 1 шт., Мультимедийный проектор </w:t>
            </w:r>
            <w:r w:rsidRPr="00056A77">
              <w:rPr>
                <w:sz w:val="22"/>
                <w:szCs w:val="22"/>
                <w:lang w:val="en-US"/>
              </w:rPr>
              <w:t>Panasonic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PT</w:t>
            </w:r>
            <w:r w:rsidRPr="00056A77">
              <w:rPr>
                <w:sz w:val="22"/>
                <w:szCs w:val="22"/>
              </w:rPr>
              <w:t>-</w:t>
            </w:r>
            <w:r w:rsidRPr="00056A77">
              <w:rPr>
                <w:sz w:val="22"/>
                <w:szCs w:val="22"/>
                <w:lang w:val="en-US"/>
              </w:rPr>
              <w:t>VX</w:t>
            </w:r>
            <w:r w:rsidRPr="00056A7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056A77">
              <w:rPr>
                <w:sz w:val="22"/>
                <w:szCs w:val="22"/>
                <w:lang w:val="en-US"/>
              </w:rPr>
              <w:t>DRAPER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BARONET</w:t>
            </w:r>
            <w:r w:rsidRPr="00056A7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28487A7" w14:textId="77777777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056A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6A77" w14:paraId="6B64A896" w14:textId="77777777" w:rsidTr="00056A77">
        <w:tc>
          <w:tcPr>
            <w:tcW w:w="7088" w:type="dxa"/>
            <w:shd w:val="clear" w:color="auto" w:fill="auto"/>
          </w:tcPr>
          <w:p w14:paraId="74B2EB2D" w14:textId="77777777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>Ауд. 504</w:t>
            </w:r>
            <w:proofErr w:type="gramStart"/>
            <w:r w:rsidRPr="00056A77">
              <w:rPr>
                <w:sz w:val="22"/>
                <w:szCs w:val="22"/>
              </w:rPr>
              <w:t>А  Лаборатория</w:t>
            </w:r>
            <w:proofErr w:type="gramEnd"/>
            <w:r w:rsidRPr="00056A77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056A77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056A77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056A77">
              <w:rPr>
                <w:sz w:val="22"/>
                <w:szCs w:val="22"/>
              </w:rPr>
              <w:t>2: 4</w:t>
            </w:r>
            <w:r w:rsidRPr="00056A77">
              <w:rPr>
                <w:sz w:val="22"/>
                <w:szCs w:val="22"/>
                <w:lang w:val="en-US"/>
              </w:rPr>
              <w:t>x</w:t>
            </w:r>
            <w:r w:rsidRPr="00056A77">
              <w:rPr>
                <w:sz w:val="22"/>
                <w:szCs w:val="22"/>
              </w:rPr>
              <w:t>3.1/8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>/500</w:t>
            </w:r>
            <w:r w:rsidRPr="00056A77">
              <w:rPr>
                <w:sz w:val="22"/>
                <w:szCs w:val="22"/>
                <w:lang w:val="en-US"/>
              </w:rPr>
              <w:t>Gb</w:t>
            </w:r>
            <w:r w:rsidRPr="00056A77">
              <w:rPr>
                <w:sz w:val="22"/>
                <w:szCs w:val="22"/>
              </w:rPr>
              <w:t xml:space="preserve">/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056A77">
              <w:rPr>
                <w:sz w:val="22"/>
                <w:szCs w:val="22"/>
              </w:rPr>
              <w:t xml:space="preserve"> 23" 236</w:t>
            </w:r>
            <w:r w:rsidRPr="00056A77">
              <w:rPr>
                <w:sz w:val="22"/>
                <w:szCs w:val="22"/>
                <w:lang w:val="en-US"/>
              </w:rPr>
              <w:t>V</w:t>
            </w:r>
            <w:r w:rsidRPr="00056A77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056A77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Media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RE</w:t>
            </w:r>
            <w:r w:rsidRPr="00056A77">
              <w:rPr>
                <w:sz w:val="22"/>
                <w:szCs w:val="22"/>
              </w:rPr>
              <w:t xml:space="preserve"> 100</w:t>
            </w:r>
            <w:r w:rsidRPr="00056A77">
              <w:rPr>
                <w:sz w:val="22"/>
                <w:szCs w:val="22"/>
                <w:lang w:val="en-US"/>
              </w:rPr>
              <w:t>AW</w:t>
            </w:r>
            <w:r w:rsidRPr="00056A77">
              <w:rPr>
                <w:sz w:val="22"/>
                <w:szCs w:val="22"/>
              </w:rPr>
              <w:t xml:space="preserve"> </w:t>
            </w:r>
            <w:r w:rsidRPr="00056A77">
              <w:rPr>
                <w:sz w:val="22"/>
                <w:szCs w:val="22"/>
                <w:lang w:val="en-US"/>
              </w:rPr>
              <w:t>Dual</w:t>
            </w:r>
            <w:r w:rsidRPr="00056A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0EF51649" w14:textId="77777777" w:rsidR="002C735C" w:rsidRPr="00056A77" w:rsidRDefault="00B43524" w:rsidP="00056A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6A7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56A7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6A77" w14:paraId="1C043601" w14:textId="77777777" w:rsidTr="00296086">
        <w:tc>
          <w:tcPr>
            <w:tcW w:w="562" w:type="dxa"/>
          </w:tcPr>
          <w:p w14:paraId="1E3E618B" w14:textId="77777777" w:rsidR="00056A77" w:rsidRPr="009E6058" w:rsidRDefault="00056A77" w:rsidP="002960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30C50C" w14:textId="77777777" w:rsidR="00056A77" w:rsidRPr="000A0156" w:rsidRDefault="00056A77" w:rsidP="002960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01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01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01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6A77" w14:paraId="5A1C9382" w14:textId="77777777" w:rsidTr="00801458">
        <w:tc>
          <w:tcPr>
            <w:tcW w:w="2336" w:type="dxa"/>
          </w:tcPr>
          <w:p w14:paraId="4C518DAB" w14:textId="77777777" w:rsidR="005D65A5" w:rsidRPr="00056A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6A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6A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6A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6A77" w14:paraId="07658034" w14:textId="77777777" w:rsidTr="00801458">
        <w:tc>
          <w:tcPr>
            <w:tcW w:w="2336" w:type="dxa"/>
          </w:tcPr>
          <w:p w14:paraId="1553D698" w14:textId="78F29BFB" w:rsidR="005D65A5" w:rsidRPr="00056A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32881162" w:rsidR="005D65A5" w:rsidRPr="00056A77" w:rsidRDefault="00056A77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56A77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056A77" w14:paraId="748ED240" w14:textId="77777777" w:rsidTr="00801458">
        <w:tc>
          <w:tcPr>
            <w:tcW w:w="2336" w:type="dxa"/>
          </w:tcPr>
          <w:p w14:paraId="0FA479EE" w14:textId="77777777" w:rsidR="005D65A5" w:rsidRPr="00056A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E6679E" w14:textId="72A953D5" w:rsidR="005D65A5" w:rsidRPr="00056A77" w:rsidRDefault="00056A77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2921EF2B" w14:textId="77777777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56A77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15E10523" w14:textId="77777777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056A77" w14:paraId="14C93D82" w14:textId="77777777" w:rsidTr="00801458">
        <w:tc>
          <w:tcPr>
            <w:tcW w:w="2336" w:type="dxa"/>
          </w:tcPr>
          <w:p w14:paraId="2624C67B" w14:textId="77777777" w:rsidR="005D65A5" w:rsidRPr="00056A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DF1F71" w14:textId="77777777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C62C2F" w14:textId="77777777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299E3E8" w14:textId="77777777" w:rsidR="005D65A5" w:rsidRPr="00056A77" w:rsidRDefault="007478E0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11-15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501F92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6A77" w14:paraId="348ECE97" w14:textId="77777777" w:rsidTr="00056A77">
        <w:tc>
          <w:tcPr>
            <w:tcW w:w="562" w:type="dxa"/>
          </w:tcPr>
          <w:p w14:paraId="62FA8C4C" w14:textId="77777777" w:rsidR="00056A77" w:rsidRDefault="00056A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E5377F" w14:textId="77777777" w:rsidR="00056A77" w:rsidRDefault="00056A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56A77" w14:paraId="0267C479" w14:textId="77777777" w:rsidTr="00801458">
        <w:tc>
          <w:tcPr>
            <w:tcW w:w="2500" w:type="pct"/>
          </w:tcPr>
          <w:p w14:paraId="37F699C9" w14:textId="77777777" w:rsidR="00B8237E" w:rsidRPr="00056A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6A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6A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6A77" w14:paraId="3F240151" w14:textId="77777777" w:rsidTr="00801458">
        <w:tc>
          <w:tcPr>
            <w:tcW w:w="2500" w:type="pct"/>
          </w:tcPr>
          <w:p w14:paraId="61E91592" w14:textId="61A0874C" w:rsidR="00B8237E" w:rsidRPr="00056A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56A77" w:rsidRDefault="005C548A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6A77" w14:paraId="01618E48" w14:textId="77777777" w:rsidTr="00801458">
        <w:tc>
          <w:tcPr>
            <w:tcW w:w="2500" w:type="pct"/>
          </w:tcPr>
          <w:p w14:paraId="07497261" w14:textId="77777777" w:rsidR="00B8237E" w:rsidRPr="00056A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7B5B806" w14:textId="77777777" w:rsidR="00B8237E" w:rsidRPr="00056A77" w:rsidRDefault="005C548A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056A77" w14:paraId="77376CD6" w14:textId="77777777" w:rsidTr="00801458">
        <w:tc>
          <w:tcPr>
            <w:tcW w:w="2500" w:type="pct"/>
          </w:tcPr>
          <w:p w14:paraId="169C1A4E" w14:textId="77777777" w:rsidR="00B8237E" w:rsidRPr="00056A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DA9D403" w14:textId="77777777" w:rsidR="00B8237E" w:rsidRPr="00056A77" w:rsidRDefault="005C548A" w:rsidP="00801458">
            <w:pPr>
              <w:rPr>
                <w:rFonts w:ascii="Times New Roman" w:hAnsi="Times New Roman" w:cs="Times New Roman"/>
              </w:rPr>
            </w:pPr>
            <w:r w:rsidRPr="00056A77">
              <w:rPr>
                <w:rFonts w:ascii="Times New Roman" w:hAnsi="Times New Roman" w:cs="Times New Roman"/>
                <w:lang w:val="en-US"/>
              </w:rPr>
              <w:t>11-15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5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04BD" w14:textId="77777777" w:rsidR="000A0156" w:rsidRDefault="000A0156" w:rsidP="00315CA6">
      <w:pPr>
        <w:spacing w:after="0" w:line="240" w:lineRule="auto"/>
      </w:pPr>
      <w:r>
        <w:separator/>
      </w:r>
    </w:p>
  </w:endnote>
  <w:endnote w:type="continuationSeparator" w:id="0">
    <w:p w14:paraId="5E96606E" w14:textId="77777777" w:rsidR="000A0156" w:rsidRDefault="000A01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0A0156" w:rsidRDefault="000A015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0A0156" w:rsidRDefault="000A015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B16F" w14:textId="77777777" w:rsidR="000A0156" w:rsidRDefault="000A0156" w:rsidP="00315CA6">
      <w:pPr>
        <w:spacing w:after="0" w:line="240" w:lineRule="auto"/>
      </w:pPr>
      <w:r>
        <w:separator/>
      </w:r>
    </w:p>
  </w:footnote>
  <w:footnote w:type="continuationSeparator" w:id="0">
    <w:p w14:paraId="3F84EF1F" w14:textId="77777777" w:rsidR="000A0156" w:rsidRDefault="000A01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A77"/>
    <w:rsid w:val="000642C9"/>
    <w:rsid w:val="00090AC1"/>
    <w:rsid w:val="000922F5"/>
    <w:rsid w:val="000A0156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A7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Unresolved Mention"/>
    <w:basedOn w:val="a0"/>
    <w:uiPriority w:val="99"/>
    <w:semiHidden/>
    <w:unhideWhenUsed/>
    <w:rsid w:val="00056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063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FDCD85-A2FC-4B98-AA33-BB413DF5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13</Pages>
  <Words>3678</Words>
  <Characters>20969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84</cp:revision>
  <cp:lastPrinted>2021-04-28T14:42:00Z</cp:lastPrinted>
  <dcterms:created xsi:type="dcterms:W3CDTF">2021-05-12T16:57:00Z</dcterms:created>
  <dcterms:modified xsi:type="dcterms:W3CDTF">2026-06-19T07:12:00Z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